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FB4AC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0" w:leftChars="0" w:right="0" w:rightChars="0" w:firstLine="0" w:firstLineChars="0"/>
        <w:textAlignment w:val="auto"/>
        <w:outlineLvl w:val="9"/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附</w:t>
      </w:r>
      <w:r>
        <w:rPr>
          <w:rFonts w:hint="default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件</w:t>
      </w:r>
      <w:r>
        <w:rPr>
          <w:rFonts w:hint="eastAsia" w:ascii="黑体" w:hAnsi="黑体" w:eastAsia="黑体" w:cs="黑体"/>
          <w:b w:val="0"/>
          <w:bCs w:val="0"/>
          <w:color w:val="auto"/>
          <w:sz w:val="32"/>
          <w:szCs w:val="32"/>
          <w:lang w:val="en-US" w:eastAsia="zh-CN"/>
        </w:rPr>
        <w:t>2</w:t>
      </w:r>
    </w:p>
    <w:p w14:paraId="783DF9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both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</w:p>
    <w:p w14:paraId="40C934F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</w:pPr>
      <w:bookmarkStart w:id="0" w:name="_GoBack"/>
      <w:r>
        <w:rPr>
          <w:rFonts w:hint="eastAsia" w:ascii="方正小标宋_GBK" w:hAnsi="方正小标宋_GBK" w:eastAsia="方正小标宋_GBK" w:cs="方正小标宋_GBK"/>
          <w:sz w:val="44"/>
          <w:szCs w:val="44"/>
          <w:lang w:val="en-US" w:eastAsia="zh-CN"/>
        </w:rPr>
        <w:t>2025年吉林省民政政策理论研究选题</w:t>
      </w:r>
      <w:bookmarkEnd w:id="0"/>
    </w:p>
    <w:p w14:paraId="1BB4BB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</w:p>
    <w:p w14:paraId="61FD909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1.加强吉林民政文化建设研究</w:t>
      </w:r>
    </w:p>
    <w:p w14:paraId="28C120D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2.加强和改进民政信访工作法治化研究</w:t>
      </w:r>
    </w:p>
    <w:p w14:paraId="0FCD645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3.加强民政信访问题源头治理研究</w:t>
      </w:r>
    </w:p>
    <w:p w14:paraId="7E9CA4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eastAsia" w:ascii="方正小标宋_GBK" w:hAnsi="方正小标宋_GBK" w:eastAsia="方正小标宋_GBK" w:cs="方正小标宋_GBK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4.如何发挥宣传优势 讲好民政故事 树好民政形象研究</w:t>
      </w:r>
    </w:p>
    <w:p w14:paraId="60E6D9A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sz w:val="32"/>
          <w:szCs w:val="32"/>
          <w:lang w:val="en-US" w:eastAsia="zh-CN"/>
        </w:rPr>
        <w:t>5.</w:t>
      </w:r>
      <w:r>
        <w:rPr>
          <w:rFonts w:hint="default" w:ascii="国标仿宋" w:hAnsi="国标仿宋" w:eastAsia="国标仿宋" w:cs="国标仿宋"/>
          <w:sz w:val="32"/>
          <w:szCs w:val="32"/>
          <w:lang w:val="en-US" w:eastAsia="zh-CN"/>
        </w:rPr>
        <w:t>高质量发展背景下我省乡级行政区划优化设置研究；</w:t>
      </w:r>
    </w:p>
    <w:p w14:paraId="4673698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sz w:val="32"/>
          <w:szCs w:val="32"/>
          <w:lang w:val="en-US" w:eastAsia="zh-CN"/>
        </w:rPr>
        <w:t>6</w:t>
      </w:r>
      <w:r>
        <w:rPr>
          <w:rFonts w:hint="default" w:ascii="国标仿宋" w:hAnsi="国标仿宋" w:eastAsia="国标仿宋" w:cs="国标仿宋"/>
          <w:sz w:val="32"/>
          <w:szCs w:val="32"/>
          <w:lang w:val="en-US" w:eastAsia="zh-CN"/>
        </w:rPr>
        <w:t>.新时代我省加强行政区域界线管理的形势与任务研究；</w:t>
      </w:r>
    </w:p>
    <w:p w14:paraId="4D2C6D2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sz w:val="32"/>
          <w:szCs w:val="32"/>
          <w:lang w:val="en-US" w:eastAsia="zh-CN"/>
        </w:rPr>
        <w:t>7</w:t>
      </w:r>
      <w:r>
        <w:rPr>
          <w:rFonts w:hint="default" w:ascii="国标仿宋" w:hAnsi="国标仿宋" w:eastAsia="国标仿宋" w:cs="国标仿宋"/>
          <w:sz w:val="32"/>
          <w:szCs w:val="32"/>
          <w:lang w:val="en-US" w:eastAsia="zh-CN"/>
        </w:rPr>
        <w:t>.新形势下优化我省地名标志设置研究；</w:t>
      </w:r>
    </w:p>
    <w:p w14:paraId="7F7022D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sz w:val="32"/>
          <w:szCs w:val="32"/>
          <w:lang w:val="en-US" w:eastAsia="zh-CN"/>
        </w:rPr>
        <w:t>8.</w:t>
      </w:r>
      <w:r>
        <w:rPr>
          <w:rFonts w:hint="default" w:ascii="国标仿宋" w:hAnsi="国标仿宋" w:eastAsia="国标仿宋" w:cs="国标仿宋"/>
          <w:sz w:val="32"/>
          <w:szCs w:val="32"/>
          <w:lang w:val="en-US" w:eastAsia="zh-CN"/>
        </w:rPr>
        <w:t>新时代加强我省区划地名信息公共服务的形势任务与对策建议；</w:t>
      </w:r>
    </w:p>
    <w:p w14:paraId="2B2233A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sz w:val="32"/>
          <w:szCs w:val="32"/>
          <w:lang w:val="en-US" w:eastAsia="zh-CN"/>
        </w:rPr>
        <w:t>9</w:t>
      </w:r>
      <w:r>
        <w:rPr>
          <w:rFonts w:hint="default" w:ascii="国标仿宋" w:hAnsi="国标仿宋" w:eastAsia="国标仿宋" w:cs="国标仿宋"/>
          <w:sz w:val="32"/>
          <w:szCs w:val="32"/>
          <w:lang w:val="en-US" w:eastAsia="zh-CN"/>
        </w:rPr>
        <w:t>.红色地名文化保护利用研究</w:t>
      </w:r>
      <w:r>
        <w:rPr>
          <w:rFonts w:hint="eastAsia" w:ascii="国标仿宋" w:hAnsi="国标仿宋" w:eastAsia="国标仿宋" w:cs="国标仿宋"/>
          <w:sz w:val="32"/>
          <w:szCs w:val="32"/>
          <w:lang w:val="en-US" w:eastAsia="zh-CN"/>
        </w:rPr>
        <w:t>；</w:t>
      </w:r>
    </w:p>
    <w:p w14:paraId="2F0D18C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10.民政领域法律法规的适应性与完善路径研究；</w:t>
      </w:r>
    </w:p>
    <w:p w14:paraId="4072959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11.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民政执法监督机制的优化与效能提升研究</w:t>
      </w: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；</w:t>
      </w:r>
    </w:p>
    <w:p w14:paraId="45B9801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12.民政服务标准化体系构建与关键标准研制；</w:t>
      </w:r>
    </w:p>
    <w:p w14:paraId="5A3C1B1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13.我省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民政标准化与信息化融合发展研究</w:t>
      </w: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；</w:t>
      </w:r>
    </w:p>
    <w:p w14:paraId="49C0D23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14.民政执法人员专业素养提升路径与培训体系研究；</w:t>
      </w:r>
    </w:p>
    <w:p w14:paraId="52AB127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15.跨部门民政执法协作机制研究；</w:t>
      </w:r>
    </w:p>
    <w:p w14:paraId="4C5A911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16.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吉林慈善事业高质量发展研究</w:t>
      </w: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；</w:t>
      </w:r>
    </w:p>
    <w:p w14:paraId="2EED92F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17.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中国特色慈善工作之募捐路径研究</w:t>
      </w: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；</w:t>
      </w:r>
    </w:p>
    <w:p w14:paraId="1338C02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18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.社区慈善可持续发展研究</w:t>
      </w: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；</w:t>
      </w:r>
    </w:p>
    <w:p w14:paraId="1B87900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19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.社区慈善的募捐和运行机制研究</w:t>
      </w: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；</w:t>
      </w:r>
    </w:p>
    <w:p w14:paraId="3B9D592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20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.慈善组织内部治理问题研究</w:t>
      </w: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；</w:t>
      </w:r>
    </w:p>
    <w:p w14:paraId="2AEA5FA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21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.慈善组织能力建设研究</w:t>
      </w: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；</w:t>
      </w:r>
    </w:p>
    <w:p w14:paraId="09DB04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22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.慈善组织公信力建设研究</w:t>
      </w: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；</w:t>
      </w:r>
    </w:p>
    <w:p w14:paraId="605CD70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23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.慈善组织项目管理研究</w:t>
      </w: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；</w:t>
      </w:r>
    </w:p>
    <w:p w14:paraId="55AB9D3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24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.慈善组织人力资源管理研究</w:t>
      </w: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；</w:t>
      </w:r>
    </w:p>
    <w:p w14:paraId="7008CFB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25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.慈善组织筹资研究</w:t>
      </w: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；</w:t>
      </w:r>
    </w:p>
    <w:p w14:paraId="5422866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26.事业单位党建工作现状分析及对策研究；</w:t>
      </w:r>
    </w:p>
    <w:p w14:paraId="22BF60DD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27.民政领域意识形态工作范畴判定和形势分析；</w:t>
      </w:r>
    </w:p>
    <w:p w14:paraId="241337F6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28.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福彩公益金使用管理现状分析及对策研究</w:t>
      </w: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；</w:t>
      </w:r>
    </w:p>
    <w:p w14:paraId="65D91F0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29.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民政数据统计工作面临的困难及对策研究</w:t>
      </w: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；</w:t>
      </w:r>
    </w:p>
    <w:p w14:paraId="56F5916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30.民政安全监管体系研究；</w:t>
      </w:r>
    </w:p>
    <w:p w14:paraId="2E99F1C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31.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新时代婚姻家庭教育辅导作用研究</w:t>
      </w: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；</w:t>
      </w:r>
    </w:p>
    <w:p w14:paraId="7FF7C8D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32.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新时代流浪乞讨救助管理转型发展的有效举措</w:t>
      </w: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；</w:t>
      </w:r>
    </w:p>
    <w:p w14:paraId="5A7544C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33.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现时代残疾人福利保障工作路径研究</w:t>
      </w: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;</w:t>
      </w:r>
    </w:p>
    <w:p w14:paraId="4CBA0C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34.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完善低收入人口动态监测指标体系研究；</w:t>
      </w:r>
    </w:p>
    <w:p w14:paraId="57269F5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35.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新时代临时救助制度深化改革研究；</w:t>
      </w:r>
    </w:p>
    <w:p w14:paraId="4A0FD0BA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36.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特困人员救助保障的改革思路研究</w:t>
      </w: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；</w:t>
      </w:r>
    </w:p>
    <w:p w14:paraId="72CED789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37.加强民政人才队伍建设研究；</w:t>
      </w:r>
    </w:p>
    <w:p w14:paraId="4AA566B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38.干部人事工作助力民政事业高质量发展研究；</w:t>
      </w:r>
    </w:p>
    <w:p w14:paraId="3C24764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39.行业协会商会服务经济高质量发展研究</w:t>
      </w:r>
    </w:p>
    <w:p w14:paraId="1A8ED91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40.社会组织服务基层治理研究</w:t>
      </w:r>
    </w:p>
    <w:p w14:paraId="7B0B00B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41.社会组织强化内部机构功能作用研究</w:t>
      </w:r>
    </w:p>
    <w:p w14:paraId="6F6E3B4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42.加强社会组织非营利性监管研究</w:t>
      </w:r>
    </w:p>
    <w:p w14:paraId="539CE173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43.社会组织参与民主协商制度研究</w:t>
      </w:r>
    </w:p>
    <w:p w14:paraId="3AABD32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44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.农村留守和困境儿童需求结构分析与精准关爱模式探索</w:t>
      </w: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45.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流动儿童家庭监护风险与源头防范机制研究</w:t>
      </w:r>
    </w:p>
    <w:p w14:paraId="708FB868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46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.孤儿与事实无人抚养儿童关爱服务质量提升研究</w:t>
      </w:r>
    </w:p>
    <w:p w14:paraId="1214BBBC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47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.留守儿童网络素养教育问题与对策研究</w:t>
      </w:r>
    </w:p>
    <w:p w14:paraId="7463CAA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48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.困境儿童心理健康问题的社会工作介入研究</w:t>
      </w:r>
    </w:p>
    <w:p w14:paraId="60DC4CA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49.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地方政府积极应对人口老龄化国家战略实施的机制和路径研究</w:t>
      </w:r>
    </w:p>
    <w:p w14:paraId="776F90B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50.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吉林省“银发经济”发展的国际比较研究</w:t>
      </w:r>
    </w:p>
    <w:p w14:paraId="4774ABA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51.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市（州）老年人优待政策优化研究</w:t>
      </w:r>
    </w:p>
    <w:p w14:paraId="204F6C0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52.</w:t>
      </w:r>
      <w:r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  <w:t>吉林省老年友好型城市建设与实施路径研究</w:t>
      </w:r>
    </w:p>
    <w:p w14:paraId="319D16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53.农村养老服务工作现状及对策研究</w:t>
      </w:r>
    </w:p>
    <w:p w14:paraId="71E1E83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54.农村老年助餐服务面临的突出问题及对策研究</w:t>
      </w:r>
    </w:p>
    <w:p w14:paraId="68FFA64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55.社区居家养老服务研究</w:t>
      </w:r>
    </w:p>
    <w:p w14:paraId="1070DC9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56.养老机构提质增效研究</w:t>
      </w:r>
    </w:p>
    <w:p w14:paraId="2338BEA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38" w:leftChars="304" w:firstLine="0" w:firstLineChars="0"/>
        <w:jc w:val="both"/>
        <w:textAlignment w:val="auto"/>
        <w:rPr>
          <w:rFonts w:hint="default" w:ascii="国标仿宋" w:hAnsi="国标仿宋" w:eastAsia="国标仿宋" w:cs="国标仿宋"/>
          <w:color w:val="000000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color w:val="000000"/>
          <w:sz w:val="32"/>
          <w:szCs w:val="32"/>
          <w:lang w:val="en-US" w:eastAsia="zh-CN"/>
        </w:rPr>
        <w:t>57.加强民政舆情应对能力建设研究</w:t>
      </w:r>
    </w:p>
    <w:p w14:paraId="601A35B7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sz w:val="32"/>
          <w:szCs w:val="32"/>
          <w:lang w:val="en-US" w:eastAsia="zh-CN"/>
        </w:rPr>
        <w:t>58.提升筹集公益金能力路径研究；</w:t>
      </w:r>
    </w:p>
    <w:p w14:paraId="79EC3812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sz w:val="32"/>
          <w:szCs w:val="32"/>
          <w:lang w:val="en-US" w:eastAsia="zh-CN"/>
        </w:rPr>
        <w:t>59.吉林省福利彩票公益品牌建设研究；</w:t>
      </w:r>
    </w:p>
    <w:p w14:paraId="22D84401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  <w:rPr>
          <w:rFonts w:hint="eastAsia" w:ascii="国标仿宋" w:hAnsi="国标仿宋" w:eastAsia="国标仿宋" w:cs="国标仿宋"/>
          <w:sz w:val="32"/>
          <w:szCs w:val="32"/>
          <w:lang w:val="en-US" w:eastAsia="zh-CN"/>
        </w:rPr>
      </w:pPr>
      <w:r>
        <w:rPr>
          <w:rFonts w:hint="eastAsia" w:ascii="国标仿宋" w:hAnsi="国标仿宋" w:eastAsia="国标仿宋" w:cs="国标仿宋"/>
          <w:sz w:val="32"/>
          <w:szCs w:val="32"/>
          <w:lang w:val="en-US" w:eastAsia="zh-CN"/>
        </w:rPr>
        <w:t>60.民政档案管理工作研究；</w:t>
      </w:r>
    </w:p>
    <w:p w14:paraId="751AD8FF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both"/>
        <w:textAlignment w:val="auto"/>
      </w:pPr>
      <w:r>
        <w:rPr>
          <w:rFonts w:hint="eastAsia" w:ascii="国标仿宋" w:hAnsi="国标仿宋" w:eastAsia="国标仿宋" w:cs="国标仿宋"/>
          <w:sz w:val="32"/>
          <w:szCs w:val="32"/>
          <w:lang w:val="en-US" w:eastAsia="zh-CN"/>
        </w:rPr>
        <w:t>61.以民政信息化助力中国式现代化研究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00000" w:usb3="00000000" w:csb0="00040000" w:csb1="00000000"/>
  </w:font>
  <w:font w:name="国标仿宋">
    <w:altName w:val="仿宋"/>
    <w:panose1 w:val="02000500000000000000"/>
    <w:charset w:val="86"/>
    <w:family w:val="auto"/>
    <w:pitch w:val="default"/>
    <w:sig w:usb0="00000000" w:usb1="00000000" w:usb2="00000016" w:usb3="00000000" w:csb0="00060007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C0B51E6"/>
    <w:rsid w:val="2C0B5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2025-01-10T02:18:00Z</dcterms:created>
  <dc:creator>why8979</dc:creator>
  <cp:lastModifiedBy>why8979</cp:lastModifiedBy>
  <dcterms:modified xsi:type="dcterms:W3CDTF">2025-01-10T02:18:33Z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81CED0A6E3054BF7961DBCBB09481E51_11</vt:lpwstr>
  </property>
  <property fmtid="{D5CDD505-2E9C-101B-9397-08002B2CF9AE}" pid="4" name="KSOTemplateDocerSaveRecord">
    <vt:lpwstr>eyJoZGlkIjoiMGJjNDljMDBkOTgxMTRiYjc2MWQ2MWFjZDQ0NjNjNDIiLCJ1c2VySWQiOiIzNzc4ODM5ODEifQ==</vt:lpwstr>
  </property>
</Properties>
</file>